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6624"/>
        <w:gridCol w:w="3312"/>
      </w:tblGrid>
      <w:tr>
        <w:tc>
          <w:tcPr>
            <w:tcW w:type="dxa" w:w="4968"/>
            <w:shd w:val="clear" w:fill="16325C"/>
          </w:tcPr>
          <w:p>
            <w:r>
              <w:rPr>
                <w:b/>
                <w:i w:val="0"/>
                <w:color w:val="FFFFFF"/>
                <w:sz w:val="28"/>
              </w:rPr>
              <w:t>{Name}</w:t>
            </w:r>
          </w:p>
        </w:tc>
        <w:tc>
          <w:tcPr>
            <w:tcW w:type="dxa" w:w="4968"/>
            <w:shd w:val="clear" w:fill="16325C"/>
          </w:tcPr>
          <w:p>
            <w:pPr>
              <w:jc w:val="right"/>
            </w:pPr>
            <w:r>
              <w:rPr>
                <w:b/>
                <w:i w:val="0"/>
                <w:color w:val="9FCFF5"/>
                <w:sz w:val="20"/>
              </w:rPr>
              <w:t>PIPELINE REPORT</w:t>
            </w:r>
          </w:p>
        </w:tc>
      </w:tr>
    </w:tbl>
    <w:p/>
    <w:p>
      <w:r>
        <w:rPr>
          <w:b/>
          <w:i w:val="0"/>
          <w:color w:val="16325C"/>
          <w:sz w:val="40"/>
        </w:rPr>
        <w:t>Pipeline Report</w:t>
      </w:r>
    </w:p>
    <w:p>
      <w:r>
        <w:rPr>
          <w:b w:val="0"/>
          <w:i w:val="0"/>
          <w:color w:val="54698D"/>
          <w:sz w:val="21"/>
        </w:rPr>
        <w:t>{Name} · {Today:MMMM d, yyyy}</w:t>
      </w:r>
    </w:p>
    <w:p>
      <w:pPr>
        <w:spacing w:after="120"/>
      </w:pPr>
      <w:r>
        <w:rPr>
          <w:b w:val="0"/>
          <w:i w:val="0"/>
        </w:rPr>
        <w:t>Every open and closed opportunity for {Name}, visualized at generation time. Charts are rendered natively inside Salesforce — no external services.</w:t>
      </w:r>
    </w:p>
    <w:p>
      <w:pPr>
        <w:spacing w:before="280" w:after="80"/>
      </w:pPr>
      <w:r>
        <w:rPr>
          <w:b/>
          <w:i w:val="0"/>
          <w:color w:val="0176D3"/>
          <w:sz w:val="18"/>
        </w:rPr>
        <w:t>PIPELINE BY STAGE</w:t>
      </w:r>
    </w:p>
    <w:p>
      <w:pPr>
        <w:spacing w:after="120"/>
      </w:pPr>
      <w:r>
        <w:rPr>
          <w:b w:val="0"/>
          <w:i w:val="0"/>
        </w:rPr>
        <w:t>{Chart:Opportunities:StageName:donut:title=Opportunities by Stage&amp;width=420}</w:t>
      </w:r>
    </w:p>
    <w:p>
      <w:pPr>
        <w:spacing w:before="280" w:after="80"/>
      </w:pPr>
      <w:r>
        <w:rPr>
          <w:b/>
          <w:i w:val="0"/>
          <w:color w:val="0176D3"/>
          <w:sz w:val="18"/>
        </w:rPr>
        <w:t>OPPORTUNITY DETAIL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D8DDE6"/>
          <w:left w:val="single" w:sz="4" w:color="D8DDE6"/>
          <w:bottom w:val="single" w:sz="4" w:color="D8DDE6"/>
          <w:right w:val="single" w:sz="4" w:color="D8DDE6"/>
          <w:insideH w:val="single" w:sz="4" w:color="D8DDE6"/>
          <w:insideV w:val="single" w:sz="4" w:color="D8DDE6"/>
        </w:tblBorders>
      </w:tblPr>
      <w:tblGrid>
        <w:gridCol w:w="4032"/>
        <w:gridCol w:w="2304"/>
        <w:gridCol w:w="1728"/>
        <w:gridCol w:w="1872"/>
      </w:tblGrid>
      <w:tr>
        <w:tc>
          <w:tcPr>
            <w:tcW w:type="dxa" w:w="4032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{RepeatHeader}Opportunity</w:t>
            </w:r>
          </w:p>
        </w:tc>
        <w:tc>
          <w:tcPr>
            <w:tcW w:type="dxa" w:w="2304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Stage</w:t>
            </w:r>
          </w:p>
        </w:tc>
        <w:tc>
          <w:tcPr>
            <w:tcW w:type="dxa" w:w="1728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Amount</w:t>
            </w:r>
          </w:p>
        </w:tc>
        <w:tc>
          <w:tcPr>
            <w:tcW w:type="dxa" w:w="1872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Close Date</w:t>
            </w:r>
          </w:p>
        </w:tc>
      </w:tr>
      <w:tr>
        <w:tc>
          <w:tcPr>
            <w:tcW w:type="dxa" w:w="4032"/>
          </w:tcPr>
          <w:p>
            <w:r>
              <w:rPr>
                <w:b w:val="0"/>
                <w:i w:val="0"/>
                <w:sz w:val="20"/>
              </w:rPr>
              <w:t>{#Opportunities}{Name}</w:t>
            </w:r>
          </w:p>
        </w:tc>
        <w:tc>
          <w:tcPr>
            <w:tcW w:type="dxa" w:w="2304"/>
          </w:tcPr>
          <w:p>
            <w:r>
              <w:rPr>
                <w:b w:val="0"/>
                <w:i w:val="0"/>
                <w:sz w:val="20"/>
              </w:rPr>
              <w:t>{StageName}</w:t>
            </w:r>
          </w:p>
        </w:tc>
        <w:tc>
          <w:tcPr>
            <w:tcW w:type="dxa" w:w="1728"/>
          </w:tcPr>
          <w:p>
            <w:r>
              <w:rPr>
                <w:b w:val="0"/>
                <w:i w:val="0"/>
                <w:sz w:val="20"/>
              </w:rPr>
              <w:t>{Amount:currency}</w:t>
            </w:r>
          </w:p>
        </w:tc>
        <w:tc>
          <w:tcPr>
            <w:tcW w:type="dxa" w:w="1872"/>
          </w:tcPr>
          <w:p>
            <w:r>
              <w:rPr>
                <w:b w:val="0"/>
                <w:i w:val="0"/>
                <w:sz w:val="20"/>
              </w:rPr>
              <w:t>{CloseDate:MM/dd/yyyy}{/Opportunities}</w:t>
            </w:r>
          </w:p>
        </w:tc>
      </w:tr>
      <w:tr>
        <w:tc>
          <w:tcPr>
            <w:tcW w:type="dxa" w:w="4032"/>
            <w:shd w:val="clear" w:fill="F3F6F9"/>
          </w:tcPr>
          <w:p>
            <w:r>
              <w:rPr>
                <w:b/>
                <w:i w:val="0"/>
                <w:sz w:val="20"/>
              </w:rPr>
              <w:t>Total pipeline ({COUNT:Opportunities:number} opportunities)</w:t>
            </w:r>
          </w:p>
        </w:tc>
        <w:tc>
          <w:tcPr>
            <w:tcW w:type="dxa" w:w="2304"/>
            <w:shd w:val="clear" w:fill="F3F6F9"/>
          </w:tcPr>
          <w:p>
            <w:r>
              <w:rPr>
                <w:b/>
                <w:i w:val="0"/>
                <w:sz w:val="20"/>
              </w:rPr>
            </w:r>
          </w:p>
        </w:tc>
        <w:tc>
          <w:tcPr>
            <w:tcW w:type="dxa" w:w="1728"/>
            <w:shd w:val="clear" w:fill="F3F6F9"/>
          </w:tcPr>
          <w:p>
            <w:r>
              <w:rPr>
                <w:b/>
                <w:i w:val="0"/>
                <w:sz w:val="20"/>
              </w:rPr>
              <w:t>{SUM:Opportunities.Amount:currency}</w:t>
            </w:r>
          </w:p>
        </w:tc>
        <w:tc>
          <w:tcPr>
            <w:tcW w:type="dxa" w:w="1872"/>
            <w:shd w:val="clear" w:fill="F3F6F9"/>
          </w:tcPr>
          <w:p>
            <w:r>
              <w:rPr>
                <w:b/>
                <w:i w:val="0"/>
                <w:sz w:val="20"/>
              </w:rPr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b w:val="0"/>
          <w:i w:val="0"/>
          <w:color w:val="54698D"/>
          <w:sz w:val="19"/>
        </w:rPr>
        <w:t>Largest opportunity: {MAX:Opportunities.Amount:currency} · Average: {AVG:Opportunities.Amount:currency}</w:t>
      </w:r>
    </w:p>
    <w:p>
      <w:pPr>
        <w:spacing w:before="360"/>
      </w:pPr>
      <w:r>
        <w:rPr>
          <w:b w:val="0"/>
          <w:i/>
          <w:color w:val="54698D"/>
          <w:sz w:val="17"/>
        </w:rPr>
        <w:t>Chart data reflects Salesforce at generation time · Portwood DocGen.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6325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