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QUOTE</w:t>
            </w:r>
          </w:p>
        </w:tc>
      </w:tr>
    </w:tbl>
    <w:p/>
    <w:p>
      <w:r>
        <w:rPr>
          <w:b/>
          <w:i w:val="0"/>
          <w:color w:val="16325C"/>
          <w:sz w:val="40"/>
        </w:rPr>
        <w:t>Sales Quote</w:t>
      </w:r>
    </w:p>
    <w:p>
      <w:r>
        <w:rPr>
          <w:b w:val="0"/>
          <w:i w:val="0"/>
          <w:color w:val="54698D"/>
          <w:sz w:val="21"/>
        </w:rPr>
        <w:t>{Name} · Valid through {CloseDate:MMMM d, yyyy}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SUMMARY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Prepared for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Prepared by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{RunningUser.Name} · {RunningUser.Email}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Quote date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{Today:MMMM d, 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Stage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{StageName}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PROPOSED ITEMS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3744"/>
        <w:gridCol w:w="1728"/>
        <w:gridCol w:w="1008"/>
        <w:gridCol w:w="1728"/>
        <w:gridCol w:w="1728"/>
      </w:tblGrid>
      <w:tr>
        <w:tc>
          <w:tcPr>
            <w:tcW w:type="dxa" w:w="3744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{RepeatHeader}Item</w:t>
            </w:r>
          </w:p>
        </w:tc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Family</w:t>
            </w:r>
          </w:p>
        </w:tc>
        <w:tc>
          <w:tcPr>
            <w:tcW w:type="dxa" w:w="100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Qty</w:t>
            </w:r>
          </w:p>
        </w:tc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Unit Price</w:t>
            </w:r>
          </w:p>
        </w:tc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Extended</w:t>
            </w:r>
          </w:p>
        </w:tc>
      </w:tr>
      <w:tr>
        <w:tc>
          <w:tcPr>
            <w:tcW w:type="dxa" w:w="3744"/>
          </w:tcPr>
          <w:p>
            <w:r>
              <w:rPr>
                <w:b w:val="0"/>
                <w:i w:val="0"/>
                <w:sz w:val="20"/>
              </w:rPr>
              <w:t>{#OpportunityLineItems}{Product2.Name}</w:t>
            </w:r>
          </w:p>
        </w:tc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{Product2.Family}</w:t>
            </w:r>
          </w:p>
        </w:tc>
        <w:tc>
          <w:tcPr>
            <w:tcW w:type="dxa" w:w="1008"/>
          </w:tcPr>
          <w:p>
            <w:r>
              <w:rPr>
                <w:b w:val="0"/>
                <w:i w:val="0"/>
                <w:sz w:val="20"/>
              </w:rPr>
              <w:t>{Quantity:number}</w:t>
            </w:r>
          </w:p>
        </w:tc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{UnitPrice:currency}</w:t>
            </w:r>
          </w:p>
        </w:tc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{TotalPrice:currency}{/OpportunityLineItems}</w:t>
            </w:r>
          </w:p>
        </w:tc>
      </w:tr>
      <w:tr>
        <w:tc>
          <w:tcPr>
            <w:tcW w:type="dxa" w:w="3744"/>
            <w:shd w:val="clear" w:fill="F3F6F9"/>
          </w:tcPr>
          <w:p>
            <w:r>
              <w:rPr>
                <w:b/>
                <w:i w:val="0"/>
                <w:sz w:val="20"/>
              </w:rPr>
              <w:t>Quote total</w:t>
            </w:r>
          </w:p>
        </w:tc>
        <w:tc>
          <w:tcPr>
            <w:tcW w:type="dxa" w:w="1728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008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728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728"/>
            <w:shd w:val="clear" w:fill="F3F6F9"/>
          </w:tcPr>
          <w:p>
            <w:r>
              <w:rPr>
                <w:b/>
                <w:i w:val="0"/>
                <w:sz w:val="20"/>
              </w:rPr>
              <w:t>{SUM:OpportunityLineItems.TotalPrice:currency}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i w:val="0"/>
          <w:color w:val="54698D"/>
          <w:sz w:val="19"/>
        </w:rPr>
        <w:t xml:space="preserve">Pricing detail — </w:t>
      </w:r>
      <w:r>
        <w:rPr>
          <w:b w:val="0"/>
          <w:i w:val="0"/>
          <w:color w:val="54698D"/>
          <w:sz w:val="19"/>
        </w:rPr>
        <w:t>average line {AVG:OpportunityLineItems.TotalPrice:currency}, smallest {MIN:OpportunityLineItems.TotalPrice:currency}, largest {MAX:OpportunityLineItems.TotalPrice:currency}.</w:t>
      </w:r>
    </w:p>
    <w:p>
      <w:pPr>
        <w:spacing w:after="120"/>
      </w:pPr>
      <w:r>
        <w:rPr>
          <w:b w:val="0"/>
          <w:i w:val="0"/>
        </w:rPr>
        <w:t>{#IF Amount &gt;= 100000}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C6D3E0"/>
          <w:left w:val="single" w:sz="4" w:color="C6D3E0"/>
          <w:bottom w:val="single" w:sz="4" w:color="C6D3E0"/>
          <w:right w:val="single" w:sz="4" w:color="C6D3E0"/>
          <w:insideH w:val="single" w:sz="4" w:color="C6D3E0"/>
          <w:insideV w:val="single" w:sz="4" w:color="C6D3E0"/>
        </w:tblBorders>
      </w:tblPr>
      <w:tblGrid>
        <w:gridCol w:w="9936"/>
      </w:tblGrid>
      <w:tr>
        <w:tc>
          <w:tcPr>
            <w:tcW w:type="dxa" w:w="9936"/>
            <w:shd w:val="clear" w:fill="F3F6F9"/>
          </w:tcPr>
          <w:p>
            <w:r>
              <w:rPr>
                <w:b/>
                <w:i w:val="0"/>
                <w:color w:val="B45309"/>
              </w:rPr>
              <w:t xml:space="preserve">Enterprise pricing review. </w:t>
            </w:r>
            <w:r>
              <w:rPr>
                <w:b w:val="0"/>
                <w:i w:val="0"/>
              </w:rPr>
              <w:t>Orders of $100,000 or more receive a dedicated implementation manager and quarterly business reviews at no additional cost.</w:t>
            </w:r>
          </w:p>
        </w:tc>
      </w:tr>
    </w:tbl>
    <w:p/>
    <w:p>
      <w:pPr>
        <w:spacing w:after="120"/>
      </w:pPr>
      <w:r>
        <w:rPr>
          <w:b w:val="0"/>
          <w:i w:val="0"/>
        </w:rPr>
        <w:t>{/IF}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TERMS</w:t>
      </w:r>
    </w:p>
    <w:p>
      <w:pPr>
        <w:spacing w:after="120"/>
      </w:pPr>
      <w:r>
        <w:rPr>
          <w:b w:val="0"/>
          <w:i w:val="0"/>
        </w:rPr>
        <w:t>Pricing is valid through the date above. Quantities can be adjusted at signature. This quote is informational and does not constitute a binding agreement until countersigned.</w:t>
      </w:r>
    </w:p>
    <w:p>
      <w:pPr>
        <w:spacing w:before="360"/>
      </w:pPr>
      <w:r>
        <w:rPr>
          <w:b w:val="0"/>
          <w:i/>
          <w:color w:val="54698D"/>
          <w:sz w:val="17"/>
        </w:rPr>
        <w:t>Generated with Portwood DocGen · {Today:MM/dd/yyyy}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